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709" w:right="0" w:hanging="0"/>
        <w:jc w:val="center"/>
        <w:rPr>
          <w:rFonts w:ascii="Times New Roman" w:hAnsi="Times New Roman" w:cs="Times New Roman"/>
          <w:b/>
          <w:b/>
          <w:sz w:val="32"/>
        </w:rPr>
      </w:pPr>
      <w:r>
        <w:rPr>
          <w:rFonts w:cs="Times New Roman" w:ascii="Times New Roman" w:hAnsi="Times New Roman"/>
          <w:b/>
          <w:sz w:val="32"/>
        </w:rPr>
        <w:t>ISTITUTO COMPRENSIVO DI FONTANAFREDDA</w:t>
      </w:r>
    </w:p>
    <w:p>
      <w:pPr>
        <w:pStyle w:val="Normal"/>
        <w:spacing w:lineRule="auto" w:line="240" w:before="0" w:after="0"/>
        <w:ind w:left="709" w:right="0" w:hanging="0"/>
        <w:jc w:val="center"/>
        <w:rPr>
          <w:rFonts w:ascii="Times New Roman" w:hAnsi="Times New Roman" w:cs="Times New Roman"/>
          <w:b/>
          <w:b/>
          <w:sz w:val="32"/>
        </w:rPr>
      </w:pPr>
      <w:r>
        <w:rPr>
          <w:rFonts w:cs="Times New Roman" w:ascii="Times New Roman" w:hAnsi="Times New Roman"/>
          <w:b/>
          <w:sz w:val="32"/>
        </w:rPr>
        <w:t>“</w:t>
      </w:r>
      <w:r>
        <w:rPr>
          <w:rFonts w:cs="Times New Roman" w:ascii="Times New Roman" w:hAnsi="Times New Roman"/>
          <w:b/>
          <w:sz w:val="32"/>
        </w:rPr>
        <w:t>Rita Levi Montalcini”</w:t>
      </w:r>
    </w:p>
    <w:p>
      <w:pPr>
        <w:pStyle w:val="Normal"/>
        <w:spacing w:lineRule="auto" w:line="240" w:before="0" w:after="0"/>
        <w:ind w:left="709" w:right="0" w:hanging="0"/>
        <w:jc w:val="both"/>
        <w:rPr>
          <w:rFonts w:ascii="Times New Roman" w:hAnsi="Times New Roman" w:cs="Times New Roman"/>
          <w:b/>
          <w:b/>
          <w:sz w:val="32"/>
        </w:rPr>
      </w:pPr>
      <w:r>
        <w:rPr>
          <w:rFonts w:cs="Times New Roman" w:ascii="Times New Roman" w:hAnsi="Times New Roman"/>
          <w:b/>
          <w:sz w:val="32"/>
        </w:rPr>
      </w:r>
    </w:p>
    <w:p>
      <w:pPr>
        <w:pStyle w:val="Normal"/>
        <w:spacing w:lineRule="auto" w:line="240" w:before="0" w:after="0"/>
        <w:ind w:left="709" w:right="0" w:hanging="0"/>
        <w:jc w:val="center"/>
        <w:rPr>
          <w:rFonts w:ascii="Verdana" w:hAnsi="Verdana" w:cs="Times New Roman"/>
          <w:b/>
          <w:b/>
          <w:sz w:val="28"/>
          <w:szCs w:val="28"/>
        </w:rPr>
      </w:pPr>
      <w:r>
        <w:rPr>
          <w:rFonts w:cs="Times New Roman" w:ascii="Verdana" w:hAnsi="Verdana"/>
          <w:b/>
          <w:sz w:val="28"/>
          <w:szCs w:val="28"/>
        </w:rPr>
        <w:t xml:space="preserve">Incontro Commissione </w:t>
      </w:r>
    </w:p>
    <w:p>
      <w:pPr>
        <w:pStyle w:val="Normal"/>
        <w:spacing w:lineRule="auto" w:line="240" w:before="0" w:after="0"/>
        <w:ind w:left="709" w:right="0" w:hanging="0"/>
        <w:jc w:val="center"/>
        <w:rPr>
          <w:rFonts w:ascii="Verdana" w:hAnsi="Verdana" w:cs="Times New Roman"/>
          <w:b/>
          <w:b/>
          <w:sz w:val="28"/>
          <w:szCs w:val="28"/>
        </w:rPr>
      </w:pPr>
      <w:r>
        <w:rPr>
          <w:rFonts w:cs="Times New Roman" w:ascii="Verdana" w:hAnsi="Verdana"/>
          <w:b/>
          <w:sz w:val="28"/>
          <w:szCs w:val="28"/>
        </w:rPr>
        <w:t>Orientamento e Benessere a scuola</w:t>
      </w:r>
    </w:p>
    <w:p>
      <w:pPr>
        <w:pStyle w:val="Normal"/>
        <w:spacing w:lineRule="auto" w:line="240" w:before="0" w:after="0"/>
        <w:ind w:left="709" w:right="0" w:hanging="0"/>
        <w:jc w:val="center"/>
        <w:rPr>
          <w:rFonts w:ascii="Verdana" w:hAnsi="Verdana" w:cs="Times New Roman"/>
          <w:b/>
          <w:b/>
          <w:sz w:val="28"/>
          <w:szCs w:val="28"/>
        </w:rPr>
      </w:pPr>
      <w:r>
        <w:rPr>
          <w:rFonts w:cs="Times New Roman" w:ascii="Verdana" w:hAnsi="Verdana"/>
          <w:b/>
          <w:sz w:val="28"/>
          <w:szCs w:val="28"/>
        </w:rPr>
        <w:t xml:space="preserve"> </w:t>
      </w:r>
      <w:r>
        <w:rPr>
          <w:rFonts w:cs="Times New Roman" w:ascii="Verdana" w:hAnsi="Verdana"/>
          <w:b/>
          <w:sz w:val="28"/>
          <w:szCs w:val="28"/>
        </w:rPr>
        <w:t>BEN_ORIENTARSI</w:t>
      </w:r>
    </w:p>
    <w:p>
      <w:pPr>
        <w:pStyle w:val="Normal"/>
        <w:spacing w:lineRule="auto" w:line="240" w:before="0" w:after="0"/>
        <w:ind w:left="709" w:right="0" w:hanging="0"/>
        <w:jc w:val="center"/>
        <w:rPr>
          <w:rFonts w:ascii="Verdana" w:hAnsi="Verdana" w:cs="Times New Roman"/>
          <w:b/>
          <w:b/>
          <w:sz w:val="28"/>
          <w:szCs w:val="28"/>
        </w:rPr>
      </w:pPr>
      <w:r>
        <w:rPr>
          <w:rFonts w:cs="Times New Roman" w:ascii="Verdana" w:hAnsi="Verdana"/>
          <w:b/>
          <w:sz w:val="28"/>
          <w:szCs w:val="28"/>
        </w:rPr>
        <w:t>ore 17.00</w:t>
      </w:r>
    </w:p>
    <w:p>
      <w:pPr>
        <w:pStyle w:val="Normal"/>
        <w:spacing w:lineRule="auto" w:line="240" w:before="0" w:after="0"/>
        <w:ind w:left="709" w:right="0" w:hanging="0"/>
        <w:jc w:val="both"/>
        <w:rPr>
          <w:rFonts w:ascii="Verdana" w:hAnsi="Verdana" w:cs="Times New Roman"/>
          <w:b/>
          <w:b/>
          <w:i/>
          <w:i/>
          <w:sz w:val="32"/>
        </w:rPr>
      </w:pPr>
      <w:r>
        <w:rPr>
          <w:rFonts w:cs="Times New Roman" w:ascii="Verdana" w:hAnsi="Verdana"/>
          <w:b/>
          <w:i/>
          <w:sz w:val="32"/>
        </w:rPr>
      </w:r>
    </w:p>
    <w:p>
      <w:pPr>
        <w:pStyle w:val="Normal"/>
        <w:spacing w:lineRule="auto" w:line="240" w:before="0" w:after="0"/>
        <w:rPr>
          <w:rFonts w:ascii="Verdana" w:hAnsi="Verdana" w:cs="Times New Roman"/>
          <w:b/>
          <w:b/>
          <w:iCs/>
          <w:sz w:val="24"/>
          <w:szCs w:val="18"/>
        </w:rPr>
      </w:pPr>
      <w:r>
        <w:rPr>
          <w:rFonts w:cs="Times New Roman" w:ascii="Verdana" w:hAnsi="Verdana"/>
          <w:b/>
          <w:iCs/>
          <w:sz w:val="24"/>
          <w:szCs w:val="18"/>
        </w:rPr>
        <w:t xml:space="preserve">Componenti Commissione 2018-2019: </w:t>
      </w:r>
    </w:p>
    <w:p>
      <w:pPr>
        <w:pStyle w:val="Normal"/>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ab/>
        <w:t xml:space="preserve">Patrizia Missana, Ilenia Covre, Paola Polese, Cristina Polese,  Sabrina </w:t>
        <w:tab/>
        <w:t xml:space="preserve">Prosdocimi, Monica Guglielmi, Monia Piasentier, Laura Del Savio,Rita, </w:t>
        <w:tab/>
        <w:t>Bertolo, Giuliana Silvestri.</w:t>
      </w:r>
    </w:p>
    <w:p>
      <w:pPr>
        <w:pStyle w:val="Normal"/>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r>
    </w:p>
    <w:p>
      <w:pPr>
        <w:pStyle w:val="Normal"/>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La commissione si incontra Martedì 13 Novembre presso i locali della scuola secondaria di primo grado per definire le attività da avviare nell'ambito dell'area “Orientamento e Benessere” nel corrente anno scolastico. (circolare interna N.98).</w:t>
      </w:r>
    </w:p>
    <w:p>
      <w:pPr>
        <w:pStyle w:val="Normal"/>
        <w:spacing w:lineRule="auto" w:line="240" w:before="0" w:after="0"/>
        <w:rPr>
          <w:rFonts w:ascii="Verdana" w:hAnsi="Verdana" w:cs="Times New Roman"/>
          <w:b/>
          <w:b/>
          <w:bCs/>
          <w:iCs/>
          <w:sz w:val="24"/>
          <w:szCs w:val="24"/>
        </w:rPr>
      </w:pPr>
      <w:r>
        <w:rPr>
          <w:rFonts w:cs="Times New Roman" w:ascii="Verdana" w:hAnsi="Verdana"/>
          <w:b/>
          <w:bCs/>
          <w:iCs/>
          <w:sz w:val="24"/>
          <w:szCs w:val="24"/>
        </w:rPr>
      </w:r>
    </w:p>
    <w:p>
      <w:pPr>
        <w:pStyle w:val="Normal"/>
        <w:spacing w:lineRule="auto" w:line="240" w:before="0" w:after="0"/>
        <w:jc w:val="both"/>
        <w:rPr>
          <w:rFonts w:ascii="Verdana" w:hAnsi="Verdana" w:cs="Times New Roman"/>
          <w:b/>
          <w:b/>
          <w:bCs/>
          <w:iCs/>
          <w:sz w:val="24"/>
          <w:szCs w:val="24"/>
        </w:rPr>
      </w:pPr>
      <w:r>
        <w:rPr>
          <w:rFonts w:cs="Times New Roman" w:ascii="Verdana" w:hAnsi="Verdana"/>
          <w:b/>
          <w:bCs/>
          <w:iCs/>
          <w:sz w:val="24"/>
          <w:szCs w:val="24"/>
        </w:rPr>
        <w:tab/>
        <w:tab/>
        <w:tab/>
        <w:t>Area Orientamento e Benessere</w:t>
      </w:r>
    </w:p>
    <w:p>
      <w:pPr>
        <w:pStyle w:val="Normal"/>
        <w:spacing w:lineRule="auto" w:line="240" w:before="0" w:after="0"/>
        <w:jc w:val="both"/>
        <w:rPr>
          <w:rFonts w:ascii="Verdana" w:hAnsi="Verdana" w:cs="Times New Roman"/>
          <w:b/>
          <w:b/>
          <w:bCs/>
          <w:iCs/>
          <w:sz w:val="24"/>
          <w:szCs w:val="24"/>
        </w:rPr>
      </w:pPr>
      <w:r>
        <w:rPr>
          <w:rFonts w:cs="Times New Roman" w:ascii="Verdana" w:hAnsi="Verdana"/>
          <w:b/>
          <w:bCs/>
          <w:iCs/>
          <w:sz w:val="24"/>
          <w:szCs w:val="24"/>
        </w:rPr>
      </w:r>
    </w:p>
    <w:p>
      <w:pPr>
        <w:pStyle w:val="Normal"/>
        <w:spacing w:lineRule="auto" w:line="240" w:before="0" w:after="0"/>
        <w:jc w:val="both"/>
        <w:rPr>
          <w:rFonts w:ascii="Verdana" w:hAnsi="Verdana" w:cs="Times New Roman"/>
          <w:b/>
          <w:b/>
          <w:bCs/>
          <w:iCs/>
          <w:sz w:val="24"/>
          <w:szCs w:val="24"/>
        </w:rPr>
      </w:pPr>
      <w:r>
        <w:rPr>
          <w:rFonts w:cs="Times New Roman" w:ascii="Verdana" w:hAnsi="Verdana"/>
          <w:b/>
          <w:bCs/>
          <w:iCs/>
          <w:sz w:val="24"/>
          <w:szCs w:val="24"/>
        </w:rPr>
        <w:t>Ordine del giorno</w:t>
      </w:r>
    </w:p>
    <w:p>
      <w:pPr>
        <w:pStyle w:val="ListParagraph"/>
        <w:numPr>
          <w:ilvl w:val="0"/>
          <w:numId w:val="1"/>
        </w:numPr>
        <w:spacing w:lineRule="auto" w:line="240" w:before="0" w:after="0"/>
        <w:jc w:val="both"/>
        <w:rPr>
          <w:rFonts w:ascii="Verdana" w:hAnsi="Verdana" w:cs="Times New Roman"/>
          <w:sz w:val="24"/>
          <w:szCs w:val="24"/>
        </w:rPr>
      </w:pPr>
      <w:r>
        <w:rPr>
          <w:rFonts w:cs="Times New Roman" w:ascii="Verdana" w:hAnsi="Verdana"/>
          <w:sz w:val="24"/>
          <w:szCs w:val="24"/>
        </w:rPr>
        <w:t xml:space="preserve">Valutazione percorso anno 2017/2918 </w:t>
      </w:r>
    </w:p>
    <w:p>
      <w:pPr>
        <w:pStyle w:val="ListParagraph"/>
        <w:numPr>
          <w:ilvl w:val="0"/>
          <w:numId w:val="1"/>
        </w:numPr>
        <w:spacing w:lineRule="auto" w:line="240" w:before="0" w:after="0"/>
        <w:jc w:val="both"/>
        <w:rPr>
          <w:rFonts w:ascii="Verdana" w:hAnsi="Verdana" w:cs="Times New Roman"/>
          <w:sz w:val="24"/>
          <w:szCs w:val="24"/>
        </w:rPr>
      </w:pPr>
      <w:r>
        <w:rPr>
          <w:rFonts w:cs="Times New Roman" w:ascii="Verdana" w:hAnsi="Verdana"/>
          <w:sz w:val="24"/>
          <w:szCs w:val="24"/>
        </w:rPr>
        <w:t>Indicazioni e proposte per l'anno scolastico 2018-2019 in tutti e tre gli ordini di scuola</w:t>
      </w:r>
    </w:p>
    <w:p>
      <w:pPr>
        <w:pStyle w:val="ListParagraph"/>
        <w:numPr>
          <w:ilvl w:val="0"/>
          <w:numId w:val="1"/>
        </w:numPr>
        <w:spacing w:lineRule="auto" w:line="240" w:before="0" w:after="0"/>
        <w:jc w:val="both"/>
        <w:rPr>
          <w:rFonts w:ascii="Verdana" w:hAnsi="Verdana" w:cs="Times New Roman"/>
          <w:sz w:val="24"/>
          <w:szCs w:val="24"/>
        </w:rPr>
      </w:pPr>
      <w:r>
        <w:rPr>
          <w:rFonts w:cs="Times New Roman" w:ascii="Verdana" w:hAnsi="Verdana"/>
          <w:sz w:val="24"/>
          <w:szCs w:val="24"/>
        </w:rPr>
        <w:t xml:space="preserve">da valutare </w:t>
      </w:r>
      <w:r>
        <w:rPr>
          <w:rFonts w:cs="Times New Roman" w:ascii="Verdana" w:hAnsi="Verdana"/>
          <w:b/>
          <w:bCs/>
          <w:sz w:val="24"/>
          <w:szCs w:val="24"/>
        </w:rPr>
        <w:t>m</w:t>
      </w:r>
      <w:r>
        <w:rPr>
          <w:rFonts w:cs="Times New Roman" w:ascii="Verdana" w:hAnsi="Verdana"/>
          <w:b/>
          <w:bCs/>
          <w:iCs/>
          <w:sz w:val="24"/>
          <w:szCs w:val="24"/>
        </w:rPr>
        <w:t>omenti formativi in itinere per insegnanti/ genitori</w:t>
      </w:r>
    </w:p>
    <w:p>
      <w:pPr>
        <w:pStyle w:val="ListParagraph"/>
        <w:numPr>
          <w:ilvl w:val="0"/>
          <w:numId w:val="1"/>
        </w:numPr>
        <w:spacing w:lineRule="auto" w:line="240" w:before="0" w:after="0"/>
        <w:jc w:val="both"/>
        <w:rPr>
          <w:rFonts w:ascii="Verdana" w:hAnsi="Verdana" w:cs="Times New Roman"/>
          <w:sz w:val="24"/>
          <w:szCs w:val="24"/>
        </w:rPr>
      </w:pPr>
      <w:r>
        <w:rPr>
          <w:rFonts w:cs="Times New Roman" w:ascii="Verdana" w:hAnsi="Verdana"/>
          <w:b w:val="false"/>
          <w:bCs w:val="false"/>
          <w:iCs/>
          <w:sz w:val="24"/>
          <w:szCs w:val="24"/>
        </w:rPr>
        <w:t xml:space="preserve">varie ed eventuali </w:t>
      </w:r>
      <w:r>
        <w:rPr>
          <w:rFonts w:cs="Times New Roman" w:ascii="Verdana" w:hAnsi="Verdana"/>
          <w:sz w:val="24"/>
          <w:szCs w:val="24"/>
        </w:rPr>
        <w:t>(raccolta problematiche, suggerimenti, proposte….)</w:t>
      </w:r>
    </w:p>
    <w:p>
      <w:pPr>
        <w:pStyle w:val="ListParagraph"/>
        <w:numPr>
          <w:ilvl w:val="0"/>
          <w:numId w:val="0"/>
        </w:numPr>
        <w:ind w:left="1440" w:right="0" w:hanging="0"/>
        <w:rPr>
          <w:rFonts w:ascii="Verdana" w:hAnsi="Verdana" w:cs="Times New Roman"/>
          <w:b/>
          <w:b/>
          <w:bCs/>
          <w:iCs/>
          <w:sz w:val="24"/>
          <w:szCs w:val="24"/>
        </w:rPr>
      </w:pPr>
      <w:r>
        <w:rPr>
          <w:rFonts w:cs="Times New Roman" w:ascii="Verdana" w:hAnsi="Verdana"/>
          <w:b/>
          <w:bCs/>
          <w:iCs/>
          <w:sz w:val="24"/>
          <w:szCs w:val="24"/>
        </w:rPr>
      </w:r>
    </w:p>
    <w:p>
      <w:pPr>
        <w:pStyle w:val="Normal"/>
        <w:spacing w:lineRule="auto" w:line="240" w:before="0" w:after="0"/>
        <w:jc w:val="both"/>
        <w:rPr>
          <w:rFonts w:ascii="Verdana" w:hAnsi="Verdana" w:cs="Times New Roman"/>
          <w:b/>
          <w:b/>
          <w:bCs/>
          <w:iCs/>
          <w:sz w:val="24"/>
          <w:szCs w:val="24"/>
        </w:rPr>
      </w:pPr>
      <w:r>
        <w:rPr>
          <w:rFonts w:cs="Times New Roman" w:ascii="Verdana" w:hAnsi="Verdana"/>
          <w:b/>
          <w:bCs/>
          <w:iCs/>
          <w:sz w:val="24"/>
          <w:szCs w:val="24"/>
        </w:rPr>
        <w:t>Azioni da intraprendere – progetti approvati - proposte</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 xml:space="preserve">Orientamento in uscita : Progetto - prof.ssa Monia Piasentier </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 xml:space="preserve">Orientamento formativo: Progetti Pon ... </w:t>
      </w:r>
    </w:p>
    <w:p>
      <w:pPr>
        <w:pStyle w:val="Normal"/>
        <w:numPr>
          <w:ilvl w:val="0"/>
          <w:numId w:val="0"/>
        </w:numPr>
        <w:spacing w:lineRule="auto" w:line="240" w:before="0" w:after="0"/>
        <w:ind w:left="720" w:hanging="0"/>
        <w:rPr>
          <w:rFonts w:ascii="Verdana" w:hAnsi="Verdana" w:cs="Times New Roman"/>
          <w:b w:val="false"/>
          <w:b w:val="false"/>
          <w:bCs w:val="false"/>
          <w:iCs/>
          <w:sz w:val="24"/>
          <w:szCs w:val="18"/>
        </w:rPr>
      </w:pPr>
      <w:r>
        <w:rPr>
          <w:rFonts w:cs="Times New Roman" w:ascii="Verdana" w:hAnsi="Verdana"/>
          <w:b w:val="false"/>
          <w:bCs w:val="false"/>
          <w:iCs/>
          <w:sz w:val="24"/>
          <w:szCs w:val="18"/>
        </w:rPr>
        <w:t>Progetto Star bene a scuola- prof.ssa Missana</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Intenvento Dott.ssa Antonella Santin per la formazione e il tutoraggio della commissione  Orientamento/Benessere</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Interventi della dott.ssa Santin con i genitori (può intervenire sia alla primaria che alla secondaria – date da stabilire)</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Ambito Benessere: progetti infanzia/primaria/secondaria</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Proposta della docente Alessandra Merighi: intervento con i genitori sull'importanza della lettura (data da stabilire)</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Formazione docenti (corsi Fse legati al catalogo dell'orientamento)</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Formazione genitori (eventuali interventi con i genitori- collegamento maggiore tra scuola e genitori)</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Proposta di raccolta materiale didattico riferito ad esperienze ed attività già sperimentate in classe da condividere con colleghi (banca suggerimenti)</w:t>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 xml:space="preserve">Confronti sulle metodologie usate </w:t>
      </w:r>
    </w:p>
    <w:p>
      <w:pPr>
        <w:pStyle w:val="Normal"/>
        <w:numPr>
          <w:ilvl w:val="0"/>
          <w:numId w:val="0"/>
        </w:numPr>
        <w:spacing w:lineRule="auto" w:line="240" w:before="0" w:after="0"/>
        <w:ind w:left="720" w:hanging="0"/>
        <w:jc w:val="both"/>
        <w:rPr>
          <w:rFonts w:ascii="Verdana" w:hAnsi="Verdana" w:cs="Times New Roman"/>
          <w:b w:val="false"/>
          <w:b w:val="false"/>
          <w:bCs w:val="false"/>
          <w:i w:val="false"/>
          <w:i w:val="false"/>
          <w:iCs w:val="false"/>
          <w:sz w:val="24"/>
          <w:szCs w:val="24"/>
        </w:rPr>
      </w:pPr>
      <w:r>
        <w:rPr>
          <w:rFonts w:cs="Times New Roman" w:ascii="Verdana" w:hAnsi="Verdana"/>
          <w:b w:val="false"/>
          <w:bCs w:val="false"/>
          <w:i w:val="false"/>
          <w:iCs w:val="false"/>
          <w:sz w:val="24"/>
          <w:szCs w:val="24"/>
        </w:rPr>
        <w:t>(Alcuni suggerimenti già da tempo messi in pratica: Lavoro di gruppo valorizzando al massimo le relazioni, in situazioni il più possibili reali. Utilizzo di giochi didattici che mettano in “gioco” il ragazzo nella sua totalità in relazione costante con gli altri.</w:t>
      </w:r>
    </w:p>
    <w:p>
      <w:pPr>
        <w:pStyle w:val="Normal"/>
        <w:numPr>
          <w:ilvl w:val="0"/>
          <w:numId w:val="0"/>
        </w:numPr>
        <w:spacing w:lineRule="auto" w:line="240" w:before="0" w:after="0"/>
        <w:ind w:left="720" w:hanging="0"/>
        <w:jc w:val="both"/>
        <w:rPr>
          <w:rFonts w:ascii="Verdana" w:hAnsi="Verdana" w:cs="Times New Roman"/>
          <w:b w:val="false"/>
          <w:b w:val="false"/>
          <w:bCs w:val="false"/>
          <w:i/>
          <w:i/>
          <w:iCs/>
          <w:sz w:val="24"/>
          <w:szCs w:val="24"/>
        </w:rPr>
      </w:pPr>
      <w:r>
        <w:rPr>
          <w:rFonts w:cs="Times New Roman" w:ascii="Verdana" w:hAnsi="Verdana"/>
          <w:b w:val="false"/>
          <w:bCs w:val="false"/>
          <w:i/>
          <w:iCs/>
          <w:sz w:val="24"/>
          <w:szCs w:val="24"/>
          <w:u w:val="single"/>
        </w:rPr>
        <w:t>Circle time</w:t>
      </w:r>
      <w:r>
        <w:rPr>
          <w:rFonts w:cs="Times New Roman" w:ascii="Verdana" w:hAnsi="Verdana"/>
          <w:b w:val="false"/>
          <w:bCs w:val="false"/>
          <w:i/>
          <w:iCs/>
          <w:sz w:val="24"/>
          <w:szCs w:val="24"/>
        </w:rPr>
        <w:t xml:space="preserve"> per attivare le risorse del gruppo classe. Esso permette:</w:t>
      </w:r>
    </w:p>
    <w:p>
      <w:pPr>
        <w:pStyle w:val="Normal"/>
        <w:numPr>
          <w:ilvl w:val="0"/>
          <w:numId w:val="0"/>
        </w:numPr>
        <w:spacing w:lineRule="auto" w:line="240" w:before="0" w:after="0"/>
        <w:ind w:left="720" w:hanging="0"/>
        <w:rPr>
          <w:rFonts w:ascii="Verdana" w:hAnsi="Verdana" w:cs="Times New Roman"/>
          <w:b w:val="false"/>
          <w:b w:val="false"/>
          <w:bCs w:val="false"/>
          <w:i/>
          <w:i/>
          <w:iCs/>
          <w:sz w:val="24"/>
          <w:szCs w:val="24"/>
        </w:rPr>
      </w:pPr>
      <w:r>
        <w:rPr>
          <w:rFonts w:cs="Times New Roman" w:ascii="Verdana" w:hAnsi="Verdana"/>
          <w:b w:val="false"/>
          <w:bCs w:val="false"/>
          <w:i/>
          <w:iCs/>
          <w:sz w:val="24"/>
          <w:szCs w:val="24"/>
        </w:rPr>
        <w:t>la valorizzazione di ognuno nell’auto-rivelazione, la promozione della comprensione di sé e dell’altro, di scoprire le proprie risorse, lo sviluppo di empatia, accoglienza, ascolto, rispetto dell’altro, di promuovere l’auto-osservazione di sé e l’auto-valutazione, la valorizzazione del feedback di gruppo per accrescere il sostegno reciproco, la pro socialità, rafforzare il senso di appartenenza, di migliorare la disponibilità a risolvere i conflitti interpersonali,…)</w:t>
      </w:r>
    </w:p>
    <w:p>
      <w:pPr>
        <w:pStyle w:val="Normal"/>
        <w:numPr>
          <w:ilvl w:val="0"/>
          <w:numId w:val="0"/>
        </w:numPr>
        <w:spacing w:lineRule="auto" w:line="240" w:before="0" w:after="0"/>
        <w:ind w:left="720" w:hanging="0"/>
        <w:rPr>
          <w:rFonts w:ascii="Verdana" w:hAnsi="Verdana" w:cs="Times New Roman"/>
          <w:b w:val="false"/>
          <w:b w:val="false"/>
          <w:bCs w:val="false"/>
          <w:i/>
          <w:i/>
          <w:iCs/>
          <w:sz w:val="24"/>
          <w:szCs w:val="24"/>
        </w:rPr>
      </w:pPr>
      <w:r>
        <w:rPr>
          <w:rFonts w:cs="Times New Roman" w:ascii="Verdana" w:hAnsi="Verdana"/>
          <w:b w:val="false"/>
          <w:bCs w:val="false"/>
          <w:i/>
          <w:iCs/>
          <w:sz w:val="24"/>
          <w:szCs w:val="24"/>
        </w:rPr>
      </w:r>
    </w:p>
    <w:p>
      <w:pPr>
        <w:pStyle w:val="Normal"/>
        <w:numPr>
          <w:ilvl w:val="0"/>
          <w:numId w:val="2"/>
        </w:numPr>
        <w:spacing w:lineRule="auto" w:line="240" w:before="0" w:after="0"/>
        <w:rPr>
          <w:rFonts w:ascii="Verdana" w:hAnsi="Verdana" w:cs="Times New Roman"/>
          <w:b w:val="false"/>
          <w:b w:val="false"/>
          <w:bCs w:val="false"/>
          <w:iCs/>
          <w:sz w:val="24"/>
          <w:szCs w:val="18"/>
        </w:rPr>
      </w:pPr>
      <w:r>
        <w:rPr>
          <w:rFonts w:cs="Times New Roman" w:ascii="Verdana" w:hAnsi="Verdana"/>
          <w:b w:val="false"/>
          <w:bCs w:val="false"/>
          <w:iCs/>
          <w:sz w:val="24"/>
          <w:szCs w:val="18"/>
        </w:rPr>
        <w:t>Su richiesta di alcuni insegnati il preside propone al collegio docenti una continuazione del corso per insegnanti tenuto dalla prof.ssa Missana</w:t>
      </w:r>
    </w:p>
    <w:p>
      <w:pPr>
        <w:pStyle w:val="ListParagraph"/>
        <w:numPr>
          <w:ilvl w:val="0"/>
          <w:numId w:val="2"/>
        </w:numPr>
        <w:spacing w:lineRule="auto" w:line="240" w:before="0" w:after="0"/>
        <w:rPr>
          <w:rFonts w:ascii="Verdana" w:hAnsi="Verdana" w:cs="Times New Roman"/>
          <w:b w:val="false"/>
          <w:b w:val="false"/>
          <w:bCs w:val="false"/>
          <w:iCs/>
          <w:sz w:val="24"/>
          <w:szCs w:val="24"/>
        </w:rPr>
      </w:pPr>
      <w:r>
        <w:rPr>
          <w:rFonts w:cs="Times New Roman" w:ascii="Verdana" w:hAnsi="Verdana"/>
          <w:b w:val="false"/>
          <w:bCs w:val="false"/>
          <w:iCs/>
          <w:sz w:val="24"/>
          <w:szCs w:val="24"/>
        </w:rPr>
        <w:t>Suddivisione per gruppi di lavoro per ordine di scuola per stimolare tutti gli insegnanti a partecipare a incontri/ confronti in merito alle indicazioni Nazionali e Nuovi Scenari che vedono al loro centro le life skills, le competenze per la vita, competenze trasversali  basilari per una buona riuscita del nostro insegnamento</w:t>
      </w:r>
    </w:p>
    <w:p>
      <w:pPr>
        <w:pStyle w:val="ListParagraph"/>
        <w:numPr>
          <w:ilvl w:val="0"/>
          <w:numId w:val="0"/>
        </w:numPr>
        <w:spacing w:lineRule="auto" w:line="240" w:before="0" w:after="0"/>
        <w:ind w:left="1440" w:right="0" w:hanging="0"/>
        <w:rPr>
          <w:rFonts w:ascii="Verdana" w:hAnsi="Verdana" w:cs="Times New Roman"/>
          <w:b w:val="false"/>
          <w:b w:val="false"/>
          <w:bCs w:val="false"/>
          <w:iCs/>
          <w:sz w:val="24"/>
          <w:szCs w:val="24"/>
        </w:rPr>
      </w:pPr>
      <w:r>
        <w:rPr>
          <w:rFonts w:cs="Times New Roman" w:ascii="Verdana" w:hAnsi="Verdana"/>
          <w:b w:val="false"/>
          <w:bCs w:val="false"/>
          <w:iCs/>
          <w:sz w:val="24"/>
          <w:szCs w:val="24"/>
        </w:rPr>
      </w:r>
    </w:p>
    <w:p>
      <w:pPr>
        <w:pStyle w:val="Normal"/>
        <w:spacing w:lineRule="auto" w:line="240" w:before="0" w:after="0"/>
        <w:jc w:val="both"/>
        <w:rPr>
          <w:rFonts w:ascii="Verdana" w:hAnsi="Verdana" w:cs="Times New Roman"/>
          <w:b/>
          <w:b/>
          <w:bCs/>
          <w:sz w:val="24"/>
          <w:szCs w:val="24"/>
        </w:rPr>
      </w:pPr>
      <w:r>
        <w:rPr>
          <w:rFonts w:cs="Times New Roman" w:ascii="Verdana" w:hAnsi="Verdana"/>
          <w:b/>
          <w:bCs/>
          <w:sz w:val="24"/>
          <w:szCs w:val="24"/>
        </w:rPr>
        <w:t>Competenza attesa</w:t>
      </w:r>
    </w:p>
    <w:p>
      <w:pPr>
        <w:pStyle w:val="Normal"/>
        <w:spacing w:lineRule="auto" w:line="240" w:before="0" w:after="0"/>
        <w:jc w:val="both"/>
        <w:rPr>
          <w:rFonts w:ascii="Verdana" w:hAnsi="Verdana"/>
          <w:b w:val="false"/>
          <w:b w:val="false"/>
          <w:bCs w:val="false"/>
          <w:sz w:val="24"/>
          <w:szCs w:val="24"/>
        </w:rPr>
      </w:pPr>
      <w:r>
        <w:rPr>
          <w:rFonts w:cs="Times New Roman" w:ascii="Verdana" w:hAnsi="Verdana"/>
          <w:b w:val="false"/>
          <w:bCs w:val="false"/>
          <w:sz w:val="24"/>
          <w:szCs w:val="24"/>
        </w:rPr>
        <w:t xml:space="preserve">Mettere gradualmente i ragazzi in condizione di maturare comportamenti positivi e di adattamento, in modo da far fronte autonomamente alle richieste e alle sfide di tutti i giorni. Esercitando le competenze per la vita </w:t>
      </w:r>
      <w:r>
        <w:rPr>
          <w:rFonts w:cs="Times New Roman" w:ascii="Verdana" w:hAnsi="Verdana"/>
          <w:b w:val="false"/>
          <w:bCs w:val="false"/>
          <w:i/>
          <w:iCs/>
          <w:sz w:val="24"/>
          <w:szCs w:val="24"/>
        </w:rPr>
        <w:t>(consapevolezza di sé, relazioni efficaci, comunicazione efficace, empatia, senso critico, gestione dello stress, prendere decisioni, problem solving, gestione delle emozioni) essi saranno più consapevoli e potranno, alla fine della scuola scuola secondaria di primo grado, scegliere il loro percorso.</w:t>
      </w:r>
    </w:p>
    <w:p>
      <w:pPr>
        <w:pStyle w:val="Normal"/>
        <w:spacing w:lineRule="auto" w:line="240" w:before="0" w:after="0"/>
        <w:jc w:val="both"/>
        <w:rPr>
          <w:rFonts w:ascii="Verdana" w:hAnsi="Verdana" w:cs="Times New Roman"/>
          <w:b w:val="false"/>
          <w:b w:val="false"/>
          <w:bCs w:val="false"/>
          <w:i/>
          <w:i/>
          <w:iCs/>
          <w:sz w:val="24"/>
          <w:szCs w:val="24"/>
        </w:rPr>
      </w:pPr>
      <w:r>
        <w:rPr>
          <w:rFonts w:cs="Times New Roman" w:ascii="Verdana" w:hAnsi="Verdana"/>
          <w:b w:val="false"/>
          <w:bCs w:val="false"/>
          <w:i/>
          <w:iCs/>
          <w:sz w:val="24"/>
          <w:szCs w:val="24"/>
        </w:rPr>
      </w:r>
    </w:p>
    <w:p>
      <w:pPr>
        <w:pStyle w:val="Normal"/>
        <w:spacing w:lineRule="auto" w:line="240" w:before="0" w:after="0"/>
        <w:jc w:val="both"/>
        <w:rPr>
          <w:rFonts w:ascii="Verdana" w:hAnsi="Verdana" w:cs="Times New Roman"/>
          <w:b/>
          <w:b/>
          <w:bCs/>
          <w:i/>
          <w:i/>
          <w:iCs/>
          <w:sz w:val="24"/>
          <w:szCs w:val="24"/>
        </w:rPr>
      </w:pPr>
      <w:r>
        <w:rPr>
          <w:rFonts w:cs="Times New Roman" w:ascii="Verdana" w:hAnsi="Verdana"/>
          <w:b/>
          <w:bCs/>
          <w:i/>
          <w:iCs/>
          <w:sz w:val="24"/>
          <w:szCs w:val="24"/>
        </w:rPr>
        <w:t>Metodologia</w:t>
      </w:r>
    </w:p>
    <w:p>
      <w:pPr>
        <w:pStyle w:val="Normal"/>
        <w:spacing w:lineRule="auto" w:line="240" w:before="0" w:after="0"/>
        <w:jc w:val="both"/>
        <w:rPr>
          <w:rFonts w:ascii="Verdana" w:hAnsi="Verdana" w:cs="Times New Roman"/>
          <w:b w:val="false"/>
          <w:b w:val="false"/>
          <w:bCs w:val="false"/>
          <w:i w:val="false"/>
          <w:i w:val="false"/>
          <w:iCs w:val="false"/>
          <w:sz w:val="24"/>
          <w:szCs w:val="24"/>
        </w:rPr>
      </w:pPr>
      <w:r>
        <w:rPr>
          <w:rFonts w:cs="Times New Roman" w:ascii="Verdana" w:hAnsi="Verdana"/>
          <w:b w:val="false"/>
          <w:bCs w:val="false"/>
          <w:i w:val="false"/>
          <w:iCs w:val="false"/>
          <w:sz w:val="24"/>
          <w:szCs w:val="24"/>
        </w:rPr>
        <w:t>Lavoro di gruppo (valorizzare al massimo le relazioni), in situazioni il più possibili reali. Utilizzo di giochi didattici che mettano in “gioco” il ragazzo nella sua totalità in relazione costante con gli altri.</w:t>
      </w:r>
    </w:p>
    <w:p>
      <w:pPr>
        <w:pStyle w:val="Normal"/>
        <w:spacing w:lineRule="auto" w:line="240" w:before="0" w:after="0"/>
        <w:jc w:val="both"/>
        <w:rPr>
          <w:rFonts w:ascii="Verdana" w:hAnsi="Verdana" w:cs="Times New Roman"/>
          <w:b w:val="false"/>
          <w:b w:val="false"/>
          <w:bCs w:val="false"/>
          <w:i/>
          <w:i/>
          <w:iCs/>
          <w:sz w:val="24"/>
          <w:szCs w:val="24"/>
        </w:rPr>
      </w:pPr>
      <w:r>
        <w:rPr>
          <w:rFonts w:cs="Times New Roman" w:ascii="Verdana" w:hAnsi="Verdana"/>
          <w:b w:val="false"/>
          <w:bCs w:val="false"/>
          <w:i/>
          <w:iCs/>
          <w:sz w:val="24"/>
          <w:szCs w:val="24"/>
          <w:u w:val="single"/>
        </w:rPr>
        <w:t>Circle time</w:t>
      </w:r>
      <w:r>
        <w:rPr>
          <w:rFonts w:cs="Times New Roman" w:ascii="Verdana" w:hAnsi="Verdana"/>
          <w:b w:val="false"/>
          <w:bCs w:val="false"/>
          <w:i/>
          <w:iCs/>
          <w:sz w:val="24"/>
          <w:szCs w:val="24"/>
        </w:rPr>
        <w:t xml:space="preserve"> per attivare le risorse del gruppo classe. Esso permette:</w:t>
      </w:r>
    </w:p>
    <w:p>
      <w:pPr>
        <w:pStyle w:val="Normal"/>
        <w:spacing w:lineRule="auto" w:line="240" w:before="0" w:after="0"/>
        <w:jc w:val="both"/>
        <w:rPr>
          <w:rFonts w:ascii="Verdana" w:hAnsi="Verdana" w:cs="Times New Roman"/>
          <w:b w:val="false"/>
          <w:b w:val="false"/>
          <w:bCs w:val="false"/>
          <w:i/>
          <w:i/>
          <w:iCs/>
          <w:sz w:val="24"/>
          <w:szCs w:val="24"/>
        </w:rPr>
      </w:pPr>
      <w:r>
        <w:rPr>
          <w:rFonts w:cs="Times New Roman" w:ascii="Verdana" w:hAnsi="Verdana"/>
          <w:b w:val="false"/>
          <w:bCs w:val="false"/>
          <w:i/>
          <w:iCs/>
          <w:sz w:val="24"/>
          <w:szCs w:val="24"/>
        </w:rPr>
        <w:t>la valorizzazione di ognuno nell’auto-rivelazione, la promozione della comprensione di sé e dell’altro, di scoprire le proprie risorse, lo sviluppo di empatia, accoglienza, ascolto, rispetto dell’altro, di promuovere l’auto-osservazione di sé e l’auto-valutazione, la valorizzazione del feedback di gruppo per accrescere il sostegno reciproco, la pro socialità, rafforzare il senso di appartenenza, di migliorare la disponibilità a risolvere i conflitti interpersonali,…</w:t>
      </w:r>
    </w:p>
    <w:p>
      <w:pPr>
        <w:pStyle w:val="Normal"/>
        <w:spacing w:lineRule="auto" w:line="240" w:before="0" w:after="0"/>
        <w:jc w:val="both"/>
        <w:rPr>
          <w:rFonts w:ascii="Verdana" w:hAnsi="Verdana" w:cs="Times New Roman"/>
          <w:b w:val="false"/>
          <w:b w:val="false"/>
          <w:bCs w:val="false"/>
          <w:i/>
          <w:i/>
          <w:iCs/>
          <w:sz w:val="24"/>
          <w:szCs w:val="24"/>
        </w:rPr>
      </w:pPr>
      <w:r>
        <w:rPr>
          <w:rFonts w:cs="Times New Roman" w:ascii="Verdana" w:hAnsi="Verdana"/>
          <w:b w:val="false"/>
          <w:bCs w:val="false"/>
          <w:i/>
          <w:iCs/>
          <w:sz w:val="24"/>
          <w:szCs w:val="24"/>
        </w:rPr>
      </w:r>
    </w:p>
    <w:p>
      <w:pPr>
        <w:pStyle w:val="Default"/>
        <w:rPr>
          <w:rFonts w:ascii="Verdana" w:hAnsi="Verdana"/>
          <w:b/>
          <w:b/>
          <w:bCs/>
          <w:sz w:val="24"/>
          <w:szCs w:val="24"/>
        </w:rPr>
      </w:pPr>
      <w:r>
        <w:rPr>
          <w:rFonts w:ascii="Verdana" w:hAnsi="Verdana"/>
          <w:b/>
          <w:bCs/>
          <w:sz w:val="24"/>
          <w:szCs w:val="24"/>
        </w:rPr>
      </w:r>
    </w:p>
    <w:p>
      <w:pPr>
        <w:pStyle w:val="Default"/>
        <w:jc w:val="both"/>
        <w:rPr>
          <w:rFonts w:ascii="Verdana" w:hAnsi="Verdana"/>
          <w:b/>
          <w:b/>
          <w:bCs/>
          <w:sz w:val="24"/>
          <w:szCs w:val="24"/>
        </w:rPr>
      </w:pPr>
      <w:r>
        <w:rPr>
          <w:rFonts w:ascii="Verdana" w:hAnsi="Verdana"/>
          <w:b/>
          <w:bCs/>
          <w:sz w:val="24"/>
          <w:szCs w:val="24"/>
        </w:rPr>
        <w:t>Dalle Indicazioni Nazionali e Nuovi Scenari, MIUR, 22.02.2018, paragrafo n.3, p. 5-6</w:t>
      </w:r>
    </w:p>
    <w:p>
      <w:pPr>
        <w:pStyle w:val="Default"/>
        <w:jc w:val="both"/>
        <w:rPr>
          <w:rFonts w:ascii="Verdana" w:hAnsi="Verdana"/>
          <w:sz w:val="24"/>
          <w:szCs w:val="24"/>
        </w:rPr>
      </w:pPr>
      <w:r>
        <w:rPr>
          <w:rFonts w:ascii="Verdana" w:hAnsi="Verdana"/>
          <w:sz w:val="24"/>
          <w:szCs w:val="24"/>
        </w:rPr>
        <w:t xml:space="preserve"> </w:t>
      </w:r>
    </w:p>
    <w:p>
      <w:pPr>
        <w:pStyle w:val="Default"/>
        <w:jc w:val="both"/>
        <w:rPr>
          <w:rFonts w:ascii="Verdana" w:hAnsi="Verdana"/>
          <w:i/>
          <w:i/>
          <w:iCs/>
          <w:sz w:val="24"/>
          <w:szCs w:val="24"/>
        </w:rPr>
      </w:pPr>
      <w:r>
        <w:rPr>
          <w:rFonts w:ascii="Verdana" w:hAnsi="Verdana"/>
          <w:i/>
          <w:iCs/>
          <w:sz w:val="24"/>
          <w:szCs w:val="24"/>
        </w:rPr>
        <w:t>“</w:t>
      </w:r>
      <w:r>
        <w:rPr>
          <w:rFonts w:ascii="Verdana" w:hAnsi="Verdana"/>
          <w:i/>
          <w:iCs/>
          <w:sz w:val="24"/>
          <w:szCs w:val="24"/>
        </w:rPr>
        <w:t xml:space="preserve">Nell’ambito del costante processo di elaborazione e verifica dei propri obiettivi e nell’attento confronto con gli altri sistemi scolastici europei, le Indicazioni nazionali intendono promuovere e consolidare le competenze culturali basilari e irrinunciabili tese a sviluppare progressivamente, nel corso della vita, le competenze-chiave europee.” </w:t>
      </w:r>
    </w:p>
    <w:p>
      <w:pPr>
        <w:pStyle w:val="Default"/>
        <w:jc w:val="both"/>
        <w:rPr>
          <w:rFonts w:ascii="Verdana" w:hAnsi="Verdana"/>
          <w:sz w:val="24"/>
          <w:szCs w:val="24"/>
        </w:rPr>
      </w:pPr>
      <w:r>
        <w:rPr>
          <w:rFonts w:ascii="Verdana" w:hAnsi="Verdana"/>
          <w:sz w:val="24"/>
          <w:szCs w:val="24"/>
        </w:rPr>
        <w:t>Le otto competenze chiave, così come recita la Raccomandazione, “</w:t>
      </w:r>
      <w:r>
        <w:rPr>
          <w:rFonts w:ascii="Verdana" w:hAnsi="Verdana"/>
          <w:i/>
          <w:iCs/>
          <w:sz w:val="24"/>
          <w:szCs w:val="24"/>
        </w:rPr>
        <w:t>sono quelle di cui tutti hanno bisogno per la realizzazione e lo sviluppo personali, la cittadinanza attiva, l’inclusione sociale e l’occupazione</w:t>
      </w:r>
      <w:r>
        <w:rPr>
          <w:rFonts w:ascii="Verdana" w:hAnsi="Verdana"/>
          <w:sz w:val="24"/>
          <w:szCs w:val="24"/>
        </w:rPr>
        <w:t xml:space="preserve">” e si caratterizzano come competenze per la vita. Costituiscono, dal punto di vista metodologico, un </w:t>
      </w:r>
      <w:r>
        <w:rPr>
          <w:rFonts w:ascii="Verdana" w:hAnsi="Verdana"/>
          <w:i/>
          <w:iCs/>
          <w:sz w:val="24"/>
          <w:szCs w:val="24"/>
        </w:rPr>
        <w:t xml:space="preserve">framework </w:t>
      </w:r>
      <w:r>
        <w:rPr>
          <w:rFonts w:ascii="Verdana" w:hAnsi="Verdana"/>
          <w:sz w:val="24"/>
          <w:szCs w:val="24"/>
        </w:rPr>
        <w:t>capace di contenere le competenze culturali afferenti alle diverse discipline e le competenze metacognitive, metodologiche e sociali necessarie ad operare nel mondo e ad interagire con gli altri...</w:t>
      </w:r>
    </w:p>
    <w:p>
      <w:pPr>
        <w:pStyle w:val="Default"/>
        <w:jc w:val="both"/>
        <w:rPr>
          <w:rFonts w:ascii="Verdana" w:hAnsi="Verdana"/>
          <w:sz w:val="24"/>
          <w:szCs w:val="24"/>
        </w:rPr>
      </w:pPr>
      <w:r>
        <w:rPr>
          <w:rFonts w:ascii="Verdana" w:hAnsi="Verdana"/>
          <w:b/>
          <w:bCs/>
          <w:sz w:val="24"/>
          <w:szCs w:val="24"/>
        </w:rPr>
        <w:t xml:space="preserve">Le competenze chiave </w:t>
      </w:r>
      <w:r>
        <w:rPr>
          <w:rFonts w:ascii="Verdana" w:hAnsi="Verdana"/>
          <w:sz w:val="24"/>
          <w:szCs w:val="24"/>
        </w:rPr>
        <w:t>sono assunte a riferimento non solo nelle Indicazioni 2012 ma, con diversi accenti, anche in</w:t>
      </w:r>
      <w:r>
        <w:rPr>
          <w:rFonts w:ascii="Verdana" w:hAnsi="Verdana"/>
          <w:b/>
          <w:bCs/>
          <w:sz w:val="24"/>
          <w:szCs w:val="24"/>
        </w:rPr>
        <w:t xml:space="preserve"> altri documenti di indirizzo curricolare</w:t>
      </w:r>
      <w:r>
        <w:rPr>
          <w:rFonts w:ascii="Verdana" w:hAnsi="Verdana"/>
          <w:sz w:val="24"/>
          <w:szCs w:val="24"/>
        </w:rPr>
        <w:t xml:space="preserve"> fin dal 2007: il D.M. 139/2007; i DPR n. 87, 88, 89 del 2010; le </w:t>
      </w:r>
      <w:r>
        <w:rPr>
          <w:rFonts w:ascii="Verdana" w:hAnsi="Verdana"/>
          <w:b/>
          <w:bCs/>
          <w:sz w:val="24"/>
          <w:szCs w:val="24"/>
        </w:rPr>
        <w:t>Indicazioni Nazionali per i Licei; le Linee Guida degli Istituti tecnici e Professionali...</w:t>
      </w:r>
    </w:p>
    <w:p>
      <w:pPr>
        <w:pStyle w:val="Default"/>
        <w:jc w:val="both"/>
        <w:rPr>
          <w:rFonts w:ascii="Verdana" w:hAnsi="Verdana"/>
          <w:b w:val="false"/>
          <w:b w:val="false"/>
          <w:bCs w:val="false"/>
          <w:i/>
          <w:i/>
          <w:iCs/>
          <w:sz w:val="24"/>
          <w:szCs w:val="24"/>
          <w:u w:val="none"/>
        </w:rPr>
      </w:pPr>
      <w:r>
        <w:rPr>
          <w:rFonts w:ascii="Verdana" w:hAnsi="Verdana"/>
          <w:b w:val="false"/>
          <w:bCs w:val="false"/>
          <w:i/>
          <w:iCs/>
          <w:sz w:val="24"/>
          <w:szCs w:val="24"/>
          <w:u w:val="none"/>
        </w:rPr>
        <w:t xml:space="preserve"> </w:t>
      </w:r>
    </w:p>
    <w:p>
      <w:pPr>
        <w:pStyle w:val="Default"/>
        <w:jc w:val="both"/>
        <w:rPr>
          <w:rFonts w:ascii="Verdana" w:hAnsi="Verdana"/>
          <w:b/>
          <w:b/>
          <w:bCs/>
          <w:sz w:val="24"/>
          <w:szCs w:val="24"/>
          <w:u w:val="none"/>
        </w:rPr>
      </w:pPr>
      <w:r>
        <w:rPr>
          <w:rFonts w:ascii="Verdana" w:hAnsi="Verdana"/>
          <w:b/>
          <w:bCs/>
          <w:sz w:val="24"/>
          <w:szCs w:val="24"/>
          <w:u w:val="none"/>
        </w:rPr>
        <w:t xml:space="preserve">L’agire autonomo e responsabile delle persone competenti conferisce al concetto di competenza un significato non solo cognitivo, pratico, metacognitivo, ma anche e soprattutto etico. </w:t>
      </w:r>
    </w:p>
    <w:p>
      <w:pPr>
        <w:pStyle w:val="Default"/>
        <w:jc w:val="both"/>
        <w:rPr>
          <w:rFonts w:ascii="Verdana" w:hAnsi="Verdana"/>
          <w:b/>
          <w:b/>
          <w:bCs/>
          <w:sz w:val="24"/>
          <w:szCs w:val="24"/>
          <w:u w:val="none"/>
        </w:rPr>
      </w:pPr>
      <w:r>
        <w:rPr>
          <w:rFonts w:ascii="Verdana" w:hAnsi="Verdana"/>
          <w:b/>
          <w:bCs/>
          <w:sz w:val="24"/>
          <w:szCs w:val="24"/>
          <w:u w:val="none"/>
        </w:rPr>
      </w:r>
    </w:p>
    <w:p>
      <w:pPr>
        <w:pStyle w:val="Default"/>
        <w:jc w:val="both"/>
        <w:rPr>
          <w:rFonts w:ascii="Verdana" w:hAnsi="Verdana"/>
          <w:sz w:val="24"/>
          <w:szCs w:val="24"/>
          <w:u w:val="none"/>
        </w:rPr>
      </w:pPr>
      <w:r>
        <w:rPr>
          <w:rFonts w:ascii="Verdana" w:hAnsi="Verdana"/>
          <w:b/>
          <w:bCs/>
          <w:sz w:val="24"/>
          <w:szCs w:val="24"/>
          <w:u w:val="none"/>
        </w:rPr>
        <w:t>Tuttavia, le Indicazioni richiamano con decisione l’aspetto trasversale dell’insegnamento, che coinvolge i comportamenti quotidiani delle persone in ogni ambito della vita, nelle relazioni con gli altri e con l’ambiente e pertanto impegna tutti i docenti a perseguirlo nell’ambito delle proprie ordinarie attività:</w:t>
      </w:r>
      <w:r>
        <w:rPr>
          <w:rFonts w:ascii="Verdana" w:hAnsi="Verdana"/>
          <w:sz w:val="24"/>
          <w:szCs w:val="24"/>
          <w:u w:val="none"/>
        </w:rPr>
        <w:t xml:space="preserve"> </w:t>
      </w:r>
    </w:p>
    <w:p>
      <w:pPr>
        <w:pStyle w:val="Default"/>
        <w:jc w:val="both"/>
        <w:rPr>
          <w:rFonts w:ascii="Verdana" w:hAnsi="Verdana"/>
          <w:b w:val="false"/>
          <w:b w:val="false"/>
          <w:bCs w:val="false"/>
          <w:sz w:val="24"/>
          <w:szCs w:val="24"/>
          <w:u w:val="none"/>
        </w:rPr>
      </w:pPr>
      <w:r>
        <w:rPr>
          <w:rFonts w:ascii="Verdana" w:hAnsi="Verdana"/>
          <w:b w:val="false"/>
          <w:bCs w:val="false"/>
          <w:i/>
          <w:iCs/>
          <w:sz w:val="24"/>
          <w:szCs w:val="24"/>
          <w:u w:val="none"/>
        </w:rPr>
        <w:t>“</w:t>
      </w:r>
      <w:r>
        <w:rPr>
          <w:rFonts w:ascii="Verdana" w:hAnsi="Verdana"/>
          <w:b w:val="false"/>
          <w:bCs w:val="false"/>
          <w:i/>
          <w:iCs/>
          <w:sz w:val="24"/>
          <w:szCs w:val="24"/>
          <w:u w:val="none"/>
        </w:rPr>
        <w:t xml:space="preserve">È compito peculiare di questo ciclo scolastico porre le basi per l’esercizio della cittadinanza attiva, potenziando e ampliando gli apprendimenti promossi nella scuola dell’infanzia. </w:t>
      </w:r>
    </w:p>
    <w:p>
      <w:pPr>
        <w:pStyle w:val="Default"/>
        <w:jc w:val="both"/>
        <w:rPr>
          <w:rFonts w:ascii="Verdana" w:hAnsi="Verdana"/>
          <w:sz w:val="24"/>
          <w:szCs w:val="24"/>
        </w:rPr>
      </w:pPr>
      <w:r>
        <w:rPr>
          <w:rFonts w:ascii="Verdana" w:hAnsi="Verdana"/>
          <w:i/>
          <w:iCs/>
          <w:sz w:val="24"/>
          <w:szCs w:val="24"/>
          <w:u w:val="none"/>
        </w:rPr>
        <w:t xml:space="preserve">L’educazione alla cittadinanza viene promossa attraverso </w:t>
      </w:r>
      <w:r>
        <w:rPr>
          <w:rFonts w:ascii="Verdana" w:hAnsi="Verdana"/>
          <w:b/>
          <w:bCs/>
          <w:i/>
          <w:iCs/>
          <w:sz w:val="24"/>
          <w:szCs w:val="24"/>
          <w:u w:val="none"/>
        </w:rPr>
        <w:t>esperienze significative che consentano di apprendere il concreto prendersi cura di se stessi, degli altri e dell’ambiente e che favoriscano forme di cooperazione e di solidarietà</w:t>
      </w:r>
      <w:r>
        <w:rPr>
          <w:rFonts w:ascii="Verdana" w:hAnsi="Verdana"/>
          <w:i/>
          <w:iCs/>
          <w:sz w:val="24"/>
          <w:szCs w:val="24"/>
          <w:u w:val="none"/>
        </w:rPr>
        <w:t xml:space="preserve">. </w:t>
      </w:r>
    </w:p>
    <w:p>
      <w:pPr>
        <w:pStyle w:val="Default"/>
        <w:jc w:val="both"/>
        <w:rPr>
          <w:rFonts w:ascii="Verdana" w:hAnsi="Verdana"/>
          <w:i/>
          <w:i/>
          <w:iCs/>
          <w:sz w:val="24"/>
          <w:szCs w:val="24"/>
          <w:u w:val="none"/>
        </w:rPr>
      </w:pPr>
      <w:r>
        <w:rPr>
          <w:rFonts w:ascii="Verdana" w:hAnsi="Verdana"/>
          <w:i/>
          <w:iCs/>
          <w:sz w:val="24"/>
          <w:szCs w:val="24"/>
          <w:u w:val="none"/>
        </w:rPr>
        <w:t xml:space="preserve">Questa fase del processo formativo è il terreno favorevole per lo sviluppo di un’adesione consapevole a valori condivisi e di atteggiamenti cooperativi e collaborativi che costituiscono la condizione per praticare la convivenza civile. </w:t>
      </w:r>
    </w:p>
    <w:p>
      <w:pPr>
        <w:pStyle w:val="Default"/>
        <w:jc w:val="both"/>
        <w:rPr>
          <w:rFonts w:ascii="Verdana" w:hAnsi="Verdana"/>
          <w:i/>
          <w:i/>
          <w:iCs/>
          <w:sz w:val="24"/>
          <w:szCs w:val="24"/>
          <w:u w:val="none"/>
        </w:rPr>
      </w:pPr>
      <w:r>
        <w:rPr>
          <w:rFonts w:ascii="Verdana" w:hAnsi="Verdana"/>
          <w:i/>
          <w:iCs/>
          <w:sz w:val="24"/>
          <w:szCs w:val="24"/>
          <w:u w:val="none"/>
        </w:rPr>
        <w:t xml:space="preserve">Obiettivi irrinunciabili dell’educazione alla cittadinanza sono la costruzione del </w:t>
      </w:r>
      <w:r>
        <w:rPr>
          <w:rFonts w:ascii="Verdana" w:hAnsi="Verdana"/>
          <w:b/>
          <w:bCs/>
          <w:i/>
          <w:iCs/>
          <w:sz w:val="24"/>
          <w:szCs w:val="24"/>
          <w:u w:val="none"/>
        </w:rPr>
        <w:t xml:space="preserve">senso di legalità </w:t>
      </w:r>
      <w:r>
        <w:rPr>
          <w:rFonts w:ascii="Verdana" w:hAnsi="Verdana"/>
          <w:i/>
          <w:iCs/>
          <w:sz w:val="24"/>
          <w:szCs w:val="24"/>
          <w:u w:val="none"/>
        </w:rPr>
        <w:t xml:space="preserve">e lo sviluppo di </w:t>
      </w:r>
      <w:r>
        <w:rPr>
          <w:rFonts w:ascii="Verdana" w:hAnsi="Verdana"/>
          <w:b/>
          <w:bCs/>
          <w:i/>
          <w:iCs/>
          <w:sz w:val="24"/>
          <w:szCs w:val="24"/>
          <w:u w:val="none"/>
        </w:rPr>
        <w:t>un’etica della responsabilità</w:t>
      </w:r>
      <w:r>
        <w:rPr>
          <w:rFonts w:ascii="Verdana" w:hAnsi="Verdana"/>
          <w:i/>
          <w:iCs/>
          <w:sz w:val="24"/>
          <w:szCs w:val="24"/>
          <w:u w:val="none"/>
        </w:rPr>
        <w:t xml:space="preserve">, che si realizzano nel dovere di scegliere e agire in modo consapevole e che implicano l’impegno a elaborare idee e a promuovere azioni finalizzate al miglioramento continuo del proprio contesto di vita, </w:t>
      </w:r>
      <w:r>
        <w:rPr>
          <w:rFonts w:ascii="Verdana" w:hAnsi="Verdana"/>
          <w:b/>
          <w:bCs/>
          <w:i/>
          <w:iCs/>
          <w:sz w:val="24"/>
          <w:szCs w:val="24"/>
          <w:u w:val="none"/>
        </w:rPr>
        <w:t xml:space="preserve">a partire dalla vita quotidiana a scuola e dal personale coinvolgimento in routine consuetudinarie </w:t>
      </w:r>
      <w:r>
        <w:rPr>
          <w:rFonts w:ascii="Verdana" w:hAnsi="Verdana"/>
          <w:i/>
          <w:iCs/>
          <w:sz w:val="24"/>
          <w:szCs w:val="24"/>
          <w:u w:val="none"/>
        </w:rPr>
        <w:t xml:space="preserve">che possono riguardare la pulizia e il buon uso dei luoghi, la cura del giardino o del cortile, la custodia dei sussidi, la documentazione, le </w:t>
      </w:r>
      <w:r>
        <w:rPr>
          <w:rFonts w:ascii="Verdana" w:hAnsi="Verdana"/>
          <w:b/>
          <w:bCs/>
          <w:i/>
          <w:iCs/>
          <w:sz w:val="24"/>
          <w:szCs w:val="24"/>
          <w:u w:val="none"/>
        </w:rPr>
        <w:t>prime forme di partecipazione alle decisioni comuni</w:t>
      </w:r>
      <w:r>
        <w:rPr>
          <w:rFonts w:ascii="Verdana" w:hAnsi="Verdana"/>
          <w:i/>
          <w:iCs/>
          <w:sz w:val="24"/>
          <w:szCs w:val="24"/>
          <w:u w:val="none"/>
        </w:rPr>
        <w:t>, le piccole riparazioni, l’organizzazione del lavoro comune.</w:t>
      </w:r>
    </w:p>
    <w:p>
      <w:pPr>
        <w:pStyle w:val="Default"/>
        <w:jc w:val="both"/>
        <w:rPr>
          <w:rFonts w:ascii="Times New Roman" w:hAnsi="Times New Roman" w:cs="Times New Roman"/>
          <w:sz w:val="24"/>
          <w:szCs w:val="24"/>
        </w:rPr>
      </w:pPr>
      <w:r>
        <w:rPr>
          <w:rFonts w:cs="Times New Roman"/>
          <w:sz w:val="24"/>
          <w:szCs w:val="24"/>
        </w:rPr>
      </w:r>
    </w:p>
    <w:p>
      <w:pPr>
        <w:pStyle w:val="ListParagraph"/>
        <w:spacing w:lineRule="auto" w:line="240" w:before="0" w:after="0"/>
        <w:ind w:left="0" w:right="0" w:hanging="0"/>
        <w:jc w:val="both"/>
        <w:rPr>
          <w:rFonts w:ascii="Verdana" w:hAnsi="Verdana"/>
          <w:sz w:val="24"/>
          <w:szCs w:val="24"/>
        </w:rPr>
      </w:pPr>
      <w:r>
        <w:rPr>
          <w:rFonts w:ascii="Verdana" w:hAnsi="Verdana"/>
          <w:sz w:val="24"/>
          <w:szCs w:val="24"/>
        </w:rPr>
      </w:r>
    </w:p>
    <w:p>
      <w:pPr>
        <w:pStyle w:val="Normal"/>
        <w:spacing w:lineRule="auto" w:line="240" w:before="0" w:after="0"/>
        <w:jc w:val="both"/>
        <w:rPr>
          <w:rFonts w:ascii="Verdana" w:hAnsi="Verdana" w:cs="Times New Roman"/>
          <w:b/>
          <w:b/>
          <w:bCs w:val="false"/>
          <w:i/>
          <w:i/>
          <w:iCs/>
          <w:sz w:val="24"/>
          <w:szCs w:val="24"/>
        </w:rPr>
      </w:pPr>
      <w:r>
        <w:rPr>
          <w:rFonts w:cs="Times New Roman" w:ascii="Verdana" w:hAnsi="Verdana"/>
          <w:b/>
          <w:bCs w:val="false"/>
          <w:i/>
          <w:iCs/>
          <w:sz w:val="24"/>
          <w:szCs w:val="24"/>
        </w:rPr>
        <w:t xml:space="preserve">FASE DI PROGETTAZIONE: </w:t>
      </w:r>
    </w:p>
    <w:p>
      <w:pPr>
        <w:pStyle w:val="Normal"/>
        <w:spacing w:lineRule="auto" w:line="240" w:before="0" w:after="0"/>
        <w:jc w:val="both"/>
        <w:rPr>
          <w:rFonts w:ascii="Verdana" w:hAnsi="Verdana"/>
          <w:sz w:val="24"/>
          <w:szCs w:val="24"/>
        </w:rPr>
      </w:pPr>
      <w:r>
        <w:rPr>
          <w:rFonts w:ascii="Verdana" w:hAnsi="Verdana"/>
          <w:sz w:val="24"/>
          <w:szCs w:val="24"/>
        </w:rPr>
        <w:t xml:space="preserve">13 Novembre 2018: prima convocazione commissione </w:t>
      </w:r>
    </w:p>
    <w:p>
      <w:pPr>
        <w:pStyle w:val="Normal"/>
        <w:spacing w:lineRule="auto" w:line="240" w:before="0" w:after="0"/>
        <w:rPr>
          <w:rFonts w:ascii="Verdana" w:hAnsi="Verdana"/>
          <w:sz w:val="24"/>
          <w:szCs w:val="24"/>
        </w:rPr>
      </w:pPr>
      <w:r>
        <w:rPr>
          <w:rFonts w:ascii="Verdana" w:hAnsi="Verdana"/>
          <w:sz w:val="24"/>
          <w:szCs w:val="24"/>
        </w:rPr>
        <w:t>“</w:t>
      </w:r>
      <w:r>
        <w:rPr>
          <w:rFonts w:ascii="Verdana" w:hAnsi="Verdana"/>
          <w:sz w:val="24"/>
          <w:szCs w:val="24"/>
        </w:rPr>
        <w:t>Ben-Orientarsi” presso i locali della scuola secondaria di I° grado.</w:t>
      </w:r>
    </w:p>
    <w:p>
      <w:pPr>
        <w:pStyle w:val="Normal"/>
        <w:spacing w:lineRule="auto" w:line="240" w:before="0" w:after="0"/>
        <w:ind w:left="0" w:right="0" w:hanging="0"/>
        <w:jc w:val="both"/>
        <w:rPr>
          <w:rFonts w:ascii="Verdana" w:hAnsi="Verdana"/>
          <w:sz w:val="24"/>
          <w:szCs w:val="24"/>
        </w:rPr>
      </w:pPr>
      <w:r>
        <w:rPr>
          <w:rFonts w:ascii="Verdana" w:hAnsi="Verdana"/>
          <w:sz w:val="24"/>
          <w:szCs w:val="24"/>
        </w:rPr>
      </w:r>
    </w:p>
    <w:p>
      <w:pPr>
        <w:pStyle w:val="Normal"/>
        <w:spacing w:lineRule="auto" w:line="240" w:before="0" w:after="0"/>
        <w:rPr>
          <w:rFonts w:ascii="Verdana" w:hAnsi="Verdana"/>
          <w:sz w:val="24"/>
          <w:szCs w:val="24"/>
        </w:rPr>
      </w:pPr>
      <w:r>
        <w:rPr>
          <w:rFonts w:ascii="Verdana" w:hAnsi="Verdana"/>
          <w:sz w:val="24"/>
          <w:szCs w:val="24"/>
        </w:rPr>
        <w:t>Convocazione commissione - 4 incontri annuali di 2 h -</w:t>
      </w:r>
    </w:p>
    <w:p>
      <w:pPr>
        <w:pStyle w:val="Normal"/>
        <w:spacing w:lineRule="auto" w:line="240" w:before="0" w:after="0"/>
        <w:jc w:val="both"/>
        <w:rPr>
          <w:rFonts w:ascii="Verdana" w:hAnsi="Verdana"/>
          <w:sz w:val="24"/>
          <w:szCs w:val="24"/>
        </w:rPr>
      </w:pPr>
      <w:r>
        <w:rPr>
          <w:rFonts w:ascii="Verdana" w:hAnsi="Verdana"/>
          <w:sz w:val="24"/>
          <w:szCs w:val="24"/>
        </w:rPr>
        <w:t>allo scopo di attivare (ottobre/novembre), monitorare (gennaio/marzo), raccogliere materiale prodotto, valutare le attività svolte (maggio/giugno)ed infine relazionare al collegio docenti.</w:t>
      </w:r>
    </w:p>
    <w:p>
      <w:pPr>
        <w:pStyle w:val="Normal"/>
        <w:spacing w:lineRule="auto" w:line="240" w:before="0" w:after="0"/>
        <w:jc w:val="both"/>
        <w:rPr>
          <w:rFonts w:ascii="Verdana" w:hAnsi="Verdana"/>
          <w:sz w:val="24"/>
          <w:szCs w:val="24"/>
        </w:rPr>
      </w:pPr>
      <w:r>
        <w:rPr>
          <w:rFonts w:ascii="Verdana" w:hAnsi="Verdana"/>
          <w:sz w:val="24"/>
          <w:szCs w:val="24"/>
        </w:rPr>
      </w:r>
    </w:p>
    <w:p>
      <w:pPr>
        <w:pStyle w:val="ListParagraph"/>
        <w:ind w:left="0" w:right="0" w:hanging="0"/>
        <w:rPr>
          <w:rFonts w:ascii="Verdana" w:hAnsi="Verdana"/>
          <w:b/>
          <w:b/>
          <w:bCs/>
          <w:sz w:val="24"/>
          <w:szCs w:val="24"/>
          <w:u w:val="single"/>
        </w:rPr>
      </w:pPr>
      <w:r>
        <w:rPr>
          <w:rFonts w:ascii="Verdana" w:hAnsi="Verdana"/>
          <w:b/>
          <w:bCs/>
          <w:sz w:val="24"/>
          <w:szCs w:val="24"/>
          <w:u w:val="single"/>
        </w:rPr>
        <w:t>Totale formazione riconosciuta docenti:   ore</w:t>
      </w:r>
    </w:p>
    <w:p>
      <w:pPr>
        <w:pStyle w:val="Normal"/>
        <w:spacing w:lineRule="auto" w:line="240" w:before="0" w:after="0"/>
        <w:jc w:val="both"/>
        <w:rPr>
          <w:rFonts w:ascii="Verdana" w:hAnsi="Verdana"/>
          <w:b/>
          <w:b/>
          <w:bCs/>
          <w:sz w:val="24"/>
          <w:szCs w:val="24"/>
          <w:u w:val="single"/>
        </w:rPr>
      </w:pPr>
      <w:r>
        <w:rPr>
          <w:rFonts w:ascii="Verdana" w:hAnsi="Verdana"/>
          <w:b/>
          <w:bCs/>
          <w:sz w:val="24"/>
          <w:szCs w:val="24"/>
          <w:u w:val="single"/>
        </w:rPr>
        <w:t>Totale ore docenti commissione: 8 ore</w:t>
      </w:r>
    </w:p>
    <w:p>
      <w:pPr>
        <w:pStyle w:val="Normal"/>
        <w:spacing w:lineRule="auto" w:line="240" w:before="0" w:after="0"/>
        <w:jc w:val="both"/>
        <w:rPr>
          <w:rFonts w:ascii="Verdana" w:hAnsi="Verdana" w:cs="Times New Roman"/>
          <w:bCs/>
          <w:sz w:val="24"/>
          <w:szCs w:val="24"/>
        </w:rPr>
      </w:pPr>
      <w:r>
        <w:rPr>
          <w:rFonts w:cs="Times New Roman" w:ascii="Verdana" w:hAnsi="Verdana"/>
          <w:bCs/>
          <w:sz w:val="24"/>
          <w:szCs w:val="24"/>
        </w:rPr>
      </w:r>
    </w:p>
    <w:p>
      <w:pPr>
        <w:pStyle w:val="Normal"/>
        <w:spacing w:lineRule="auto" w:line="240" w:before="0" w:after="0"/>
        <w:rPr>
          <w:sz w:val="24"/>
          <w:szCs w:val="24"/>
        </w:rPr>
      </w:pPr>
      <w:r>
        <w:rPr>
          <w:sz w:val="24"/>
          <w:szCs w:val="24"/>
        </w:rPr>
      </w:r>
    </w:p>
    <w:p>
      <w:pPr>
        <w:pStyle w:val="Default"/>
        <w:jc w:val="both"/>
        <w:rPr>
          <w:rFonts w:ascii="Verdana" w:hAnsi="Verdana"/>
          <w:i/>
          <w:i/>
          <w:iCs/>
          <w:u w:val="none"/>
        </w:rPr>
      </w:pPr>
      <w:r>
        <w:rPr>
          <w:rFonts w:ascii="Verdana" w:hAnsi="Verdana"/>
          <w:i/>
          <w:iCs/>
          <w:u w:val="none"/>
        </w:rPr>
        <w:t xml:space="preserve">Fontanafredda, 12/11/2918  </w:t>
        <w:tab/>
        <w:tab/>
        <w:tab/>
        <w:t xml:space="preserve">Presidente di commissione </w:t>
      </w:r>
    </w:p>
    <w:p>
      <w:pPr>
        <w:pStyle w:val="Default"/>
        <w:jc w:val="both"/>
        <w:rPr>
          <w:rFonts w:ascii="Verdana" w:hAnsi="Verdana"/>
          <w:i/>
          <w:i/>
          <w:iCs/>
          <w:u w:val="none"/>
        </w:rPr>
      </w:pPr>
      <w:r>
        <w:rPr>
          <w:rFonts w:ascii="Verdana" w:hAnsi="Verdana"/>
          <w:i/>
          <w:iCs/>
          <w:u w:val="none"/>
        </w:rPr>
        <w:tab/>
        <w:tab/>
        <w:tab/>
        <w:tab/>
        <w:tab/>
        <w:tab/>
        <w:tab/>
        <w:tab/>
        <w:t>Patrizia Missana</w:t>
      </w:r>
    </w:p>
    <w:p>
      <w:pPr>
        <w:pStyle w:val="Normal"/>
        <w:spacing w:before="0" w:after="0"/>
        <w:rPr>
          <w:rFonts w:ascii="Verdana" w:hAnsi="Verdana" w:cs="Times New Roman"/>
          <w:b/>
          <w:b/>
          <w:sz w:val="24"/>
          <w:szCs w:val="24"/>
        </w:rPr>
      </w:pPr>
      <w:r>
        <w:rPr>
          <w:rFonts w:cs="Times New Roman" w:ascii="Verdana" w:hAnsi="Verdana"/>
          <w:b/>
          <w:sz w:val="24"/>
          <w:szCs w:val="24"/>
        </w:rPr>
      </w:r>
    </w:p>
    <w:p>
      <w:pPr>
        <w:pStyle w:val="Normal"/>
        <w:spacing w:lineRule="auto" w:line="240" w:before="0" w:after="0"/>
        <w:jc w:val="both"/>
        <w:rPr>
          <w:rFonts w:ascii="Verdana" w:hAnsi="Verdana"/>
          <w:b/>
          <w:b/>
          <w:bCs/>
          <w:sz w:val="24"/>
          <w:szCs w:val="24"/>
        </w:rPr>
      </w:pPr>
      <w:r>
        <w:rPr>
          <w:rFonts w:ascii="Verdana" w:hAnsi="Verdana"/>
          <w:b/>
          <w:bCs/>
          <w:sz w:val="24"/>
          <w:szCs w:val="24"/>
        </w:rPr>
        <w:t>Allegato</w:t>
      </w:r>
    </w:p>
    <w:p>
      <w:pPr>
        <w:pStyle w:val="Normal"/>
        <w:spacing w:lineRule="auto" w:line="240" w:before="0" w:after="0"/>
        <w:jc w:val="both"/>
        <w:rPr>
          <w:rFonts w:ascii="Verdana" w:hAnsi="Verdana"/>
          <w:sz w:val="24"/>
          <w:szCs w:val="24"/>
        </w:rPr>
      </w:pPr>
      <w:r>
        <w:rPr>
          <w:rFonts w:ascii="Verdana" w:hAnsi="Verdana"/>
          <w:sz w:val="24"/>
          <w:szCs w:val="24"/>
        </w:rPr>
        <w:t>Relazione di Patrizia Missana sul convegno internazionale di Rimini della Erickson: “Scegliere, prendere posizione, agire DIDATTICHE 2018”</w:t>
      </w:r>
    </w:p>
    <w:sectPr>
      <w:type w:val="nextPage"/>
      <w:pgSz w:w="11906" w:h="16838"/>
      <w:pgMar w:left="1134" w:right="1134" w:header="0" w:top="85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auto"/>
    <w:pitch w:val="default"/>
  </w:font>
  <w:font w:name="Verdana">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it-IT" w:eastAsia="en-US" w:bidi="ar-SA"/>
      </w:rPr>
    </w:rPrDefault>
    <w:pPrDefault>
      <w:pPr>
        <w:spacing w:lineRule="auto" w:line="276"/>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pPr>
    <w:rPr>
      <w:rFonts w:ascii="Calibri" w:hAnsi="Calibri" w:eastAsia="SimSun" w:cs="Tahoma"/>
      <w:color w:val="auto"/>
      <w:sz w:val="22"/>
      <w:szCs w:val="22"/>
      <w:lang w:val="it-IT" w:eastAsia="en-US" w:bidi="ar-SA"/>
    </w:rPr>
  </w:style>
  <w:style w:type="character" w:styleId="DefaultParagraphFont">
    <w:name w:val="Default Paragraph Font"/>
    <w:qFormat/>
    <w:rPr/>
  </w:style>
  <w:style w:type="character" w:styleId="TestonotaapidipaginaCarattere">
    <w:name w:val="Testo nota a piè di pagina Carattere"/>
    <w:basedOn w:val="DefaultParagraphFont"/>
    <w:qFormat/>
    <w:rPr>
      <w:sz w:val="20"/>
      <w:szCs w:val="20"/>
    </w:rPr>
  </w:style>
  <w:style w:type="character" w:styleId="Footnotereference">
    <w:name w:val="footnote reference"/>
    <w:basedOn w:val="DefaultParagraphFont"/>
    <w:qFormat/>
    <w:rPr>
      <w:vertAlign w:val="superscript"/>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pPr>
      <w:numPr>
        <w:ilvl w:val="0"/>
        <w:numId w:val="0"/>
      </w:numPr>
      <w:ind w:left="720" w:right="0" w:hanging="0"/>
    </w:pPr>
    <w:rPr/>
  </w:style>
  <w:style w:type="paragraph" w:styleId="Footnotetext">
    <w:name w:val="footnote text"/>
    <w:basedOn w:val="Normal"/>
    <w:qFormat/>
    <w:pPr>
      <w:numPr>
        <w:ilvl w:val="0"/>
        <w:numId w:val="0"/>
      </w:numPr>
      <w:spacing w:lineRule="auto" w:line="240" w:before="0" w:after="0"/>
    </w:pPr>
    <w:rPr>
      <w:sz w:val="20"/>
      <w:szCs w:val="20"/>
    </w:rPr>
  </w:style>
  <w:style w:type="paragraph" w:styleId="Default">
    <w:name w:val="Default"/>
    <w:qFormat/>
    <w:pPr>
      <w:widowControl/>
      <w:numPr>
        <w:ilvl w:val="0"/>
        <w:numId w:val="0"/>
      </w:numPr>
      <w:kinsoku w:val="true"/>
      <w:overflowPunct w:val="true"/>
      <w:autoSpaceDE w:val="true"/>
      <w:bidi w:val="0"/>
      <w:spacing w:lineRule="auto" w:line="240" w:before="0" w:after="0"/>
    </w:pPr>
    <w:rPr>
      <w:rFonts w:ascii="Times New Roman" w:hAnsi="Times New Roman" w:cs="Times New Roman" w:eastAsia="SimSun"/>
      <w:color w:val="000000"/>
      <w:sz w:val="24"/>
      <w:szCs w:val="24"/>
      <w:lang w:val="it-IT" w:eastAsia="en-US" w:bidi="ar-SA"/>
    </w:rPr>
  </w:style>
  <w:style w:type="paragraph" w:styleId="Notaapidipagina">
    <w:name w:val="Footnote Text"/>
    <w:basedOn w:val="Normal"/>
    <w:pPr>
      <w:suppressLineNumbers/>
      <w:ind w:left="283" w:right="0" w:hanging="283"/>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175</TotalTime>
  <Application>LibreOffice/5.4.2.2$Windows_x86 LibreOffice_project/22b09f6418e8c2d508a9eaf86b2399209b0990f4</Application>
  <Pages>4</Pages>
  <Words>1155</Words>
  <CharactersWithSpaces>8271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2017-10-24T10:47:00Z</dcterms:created>
  <dc:creator>Monica</dc:creator>
  <dc:description/>
  <dc:language>it-IT</dc:language>
  <cp:lastModifiedBy/>
  <dcterms:modified xsi:type="dcterms:W3CDTF">2018-11-13T01:08:03Z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